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9C90" w14:textId="77777777" w:rsidR="008F1210" w:rsidRDefault="008F1210">
      <w:pPr>
        <w:widowControl w:val="0"/>
        <w:jc w:val="center"/>
        <w:rPr>
          <w:rFonts w:ascii="Calibri" w:hAnsi="Calibri" w:cs="Calibri"/>
          <w:b/>
          <w:bCs/>
          <w:color w:val="BF0015"/>
          <w:sz w:val="32"/>
          <w:szCs w:val="32"/>
        </w:rPr>
      </w:pPr>
    </w:p>
    <w:p w14:paraId="12EE12A9" w14:textId="77777777" w:rsidR="008F1210" w:rsidRDefault="00110708">
      <w:pPr>
        <w:widowControl w:val="0"/>
        <w:jc w:val="center"/>
        <w:rPr>
          <w:rFonts w:ascii="Calibri" w:hAnsi="Calibri" w:cs="Calibri"/>
          <w:b/>
          <w:bCs/>
          <w:color w:val="BF0015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BF0015"/>
          <w:sz w:val="32"/>
          <w:szCs w:val="32"/>
        </w:rPr>
        <w:drawing>
          <wp:anchor distT="0" distB="0" distL="114300" distR="123190" simplePos="0" relativeHeight="2" behindDoc="0" locked="0" layoutInCell="1" allowOverlap="1" wp14:anchorId="2B0BAACE" wp14:editId="79A47D38">
            <wp:simplePos x="0" y="0"/>
            <wp:positionH relativeFrom="column">
              <wp:posOffset>2874010</wp:posOffset>
            </wp:positionH>
            <wp:positionV relativeFrom="paragraph">
              <wp:posOffset>-394335</wp:posOffset>
            </wp:positionV>
            <wp:extent cx="1210310" cy="661035"/>
            <wp:effectExtent l="0" t="0" r="0" b="0"/>
            <wp:wrapTight wrapText="bothSides">
              <wp:wrapPolygon edited="0">
                <wp:start x="-65" y="0"/>
                <wp:lineTo x="-65" y="20687"/>
                <wp:lineTo x="21299" y="20687"/>
                <wp:lineTo x="21299" y="0"/>
                <wp:lineTo x="-6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EA8C6" w14:textId="77777777" w:rsidR="008F1210" w:rsidRDefault="008F1210">
      <w:pPr>
        <w:widowControl w:val="0"/>
        <w:jc w:val="center"/>
        <w:rPr>
          <w:rFonts w:ascii="Calibri" w:hAnsi="Calibri" w:cs="Calibri"/>
          <w:b/>
          <w:bCs/>
          <w:color w:val="BF0015"/>
          <w:sz w:val="32"/>
          <w:szCs w:val="32"/>
        </w:rPr>
      </w:pPr>
    </w:p>
    <w:p w14:paraId="2EAD836E" w14:textId="77777777" w:rsidR="008F1210" w:rsidRDefault="00110708">
      <w:pPr>
        <w:widowControl w:val="0"/>
        <w:jc w:val="center"/>
        <w:rPr>
          <w:rFonts w:ascii="Calibri" w:hAnsi="Calibri" w:cs="Calibri"/>
          <w:b/>
          <w:bCs/>
          <w:i/>
          <w:color w:val="BF0015"/>
          <w:sz w:val="44"/>
          <w:szCs w:val="44"/>
        </w:rPr>
      </w:pPr>
      <w:r>
        <w:rPr>
          <w:rFonts w:ascii="Calibri" w:hAnsi="Calibri" w:cs="Calibri"/>
          <w:b/>
          <w:bCs/>
          <w:i/>
          <w:color w:val="BF0015"/>
          <w:sz w:val="44"/>
          <w:szCs w:val="44"/>
        </w:rPr>
        <w:t>Atelier de territoires du CAUE 30</w:t>
      </w:r>
    </w:p>
    <w:p w14:paraId="5197E216" w14:textId="77777777" w:rsidR="008F1210" w:rsidRDefault="008F1210">
      <w:pPr>
        <w:widowControl w:val="0"/>
        <w:jc w:val="center"/>
        <w:rPr>
          <w:rFonts w:ascii="Calibri" w:hAnsi="Calibri" w:cs="Calibri"/>
          <w:b/>
          <w:bCs/>
          <w:color w:val="BF0015"/>
          <w:sz w:val="16"/>
          <w:szCs w:val="16"/>
        </w:rPr>
      </w:pPr>
    </w:p>
    <w:p w14:paraId="4AC938A3" w14:textId="77777777" w:rsidR="008F1210" w:rsidRDefault="00110708">
      <w:pPr>
        <w:widowControl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i/>
          <w:sz w:val="32"/>
          <w:szCs w:val="32"/>
        </w:rPr>
        <w:t>Les éléments fondamentaux de l’urbanisme.</w:t>
      </w:r>
    </w:p>
    <w:p w14:paraId="248EAC78" w14:textId="412025B0" w:rsidR="008F1210" w:rsidRDefault="00CD59B5">
      <w:pPr>
        <w:widowControl w:val="0"/>
        <w:jc w:val="center"/>
      </w:pPr>
      <w:r>
        <w:rPr>
          <w:rFonts w:ascii="Calibri" w:hAnsi="Calibri" w:cs="Calibri"/>
          <w:i/>
          <w:sz w:val="32"/>
          <w:szCs w:val="32"/>
        </w:rPr>
        <w:t>A</w:t>
      </w:r>
      <w:r w:rsidRPr="00CD59B5">
        <w:rPr>
          <w:rFonts w:ascii="Calibri" w:hAnsi="Calibri" w:cs="Calibri"/>
          <w:i/>
          <w:sz w:val="32"/>
          <w:szCs w:val="32"/>
        </w:rPr>
        <w:t xml:space="preserve">pplication du droit des sols et police de l'urbanisme </w:t>
      </w:r>
      <w:r>
        <w:rPr>
          <w:rFonts w:ascii="Calibri" w:hAnsi="Calibri" w:cs="Calibri"/>
          <w:i/>
          <w:sz w:val="32"/>
          <w:szCs w:val="32"/>
        </w:rPr>
        <w:br/>
      </w:r>
    </w:p>
    <w:p w14:paraId="107B369D" w14:textId="77777777" w:rsidR="008F1210" w:rsidRDefault="008F1210">
      <w:pPr>
        <w:widowControl w:val="0"/>
        <w:rPr>
          <w:rFonts w:ascii="Calibri" w:hAnsi="Calibri" w:cs="Calibri"/>
          <w:b/>
          <w:bCs/>
        </w:rPr>
      </w:pPr>
    </w:p>
    <w:p w14:paraId="61EACF4B" w14:textId="77777777" w:rsidR="008F1210" w:rsidRDefault="00110708">
      <w:pPr>
        <w:widowControl w:val="0"/>
        <w:jc w:val="center"/>
        <w:rPr>
          <w:rFonts w:ascii="Calibri" w:hAnsi="Calibri" w:cs="Calibri"/>
          <w:b/>
          <w:color w:val="C0504D" w:themeColor="accent2"/>
          <w:sz w:val="28"/>
          <w:szCs w:val="28"/>
        </w:rPr>
      </w:pPr>
      <w:r>
        <w:rPr>
          <w:rFonts w:ascii="Calibri" w:hAnsi="Calibri" w:cs="Calibri"/>
          <w:b/>
          <w:color w:val="C0504D" w:themeColor="accent2"/>
          <w:sz w:val="28"/>
          <w:szCs w:val="28"/>
        </w:rPr>
        <w:t xml:space="preserve">DEROULEMENT DE LA VISIOCONFERENCE </w:t>
      </w:r>
    </w:p>
    <w:p w14:paraId="081F5B2C" w14:textId="30A458B0" w:rsidR="008F1210" w:rsidRDefault="00110708">
      <w:pPr>
        <w:widowControl w:val="0"/>
        <w:jc w:val="center"/>
      </w:pPr>
      <w:r>
        <w:rPr>
          <w:rFonts w:ascii="Calibri" w:hAnsi="Calibri" w:cs="Calibri"/>
          <w:b/>
          <w:color w:val="C0504D" w:themeColor="accent2"/>
          <w:sz w:val="28"/>
          <w:szCs w:val="28"/>
        </w:rPr>
        <w:t xml:space="preserve">Jeudi </w:t>
      </w:r>
      <w:r w:rsidR="00CD59B5">
        <w:rPr>
          <w:rFonts w:ascii="Calibri" w:hAnsi="Calibri" w:cs="Calibri"/>
          <w:b/>
          <w:color w:val="C0504D" w:themeColor="accent2"/>
          <w:sz w:val="28"/>
          <w:szCs w:val="28"/>
        </w:rPr>
        <w:t xml:space="preserve">8 et </w:t>
      </w:r>
      <w:proofErr w:type="gramStart"/>
      <w:r w:rsidR="00CD59B5">
        <w:rPr>
          <w:rFonts w:ascii="Calibri" w:hAnsi="Calibri" w:cs="Calibri"/>
          <w:b/>
          <w:color w:val="C0504D" w:themeColor="accent2"/>
          <w:sz w:val="28"/>
          <w:szCs w:val="28"/>
        </w:rPr>
        <w:t>Mardi</w:t>
      </w:r>
      <w:proofErr w:type="gramEnd"/>
      <w:r w:rsidR="00CD59B5">
        <w:rPr>
          <w:rFonts w:ascii="Calibri" w:hAnsi="Calibri" w:cs="Calibri"/>
          <w:b/>
          <w:color w:val="C0504D" w:themeColor="accent2"/>
          <w:sz w:val="28"/>
          <w:szCs w:val="28"/>
        </w:rPr>
        <w:t xml:space="preserve"> 13 avril 2021 </w:t>
      </w:r>
      <w:r>
        <w:rPr>
          <w:rFonts w:ascii="Calibri" w:hAnsi="Calibri" w:cs="Calibri"/>
          <w:b/>
          <w:color w:val="C0504D" w:themeColor="accent2"/>
          <w:sz w:val="28"/>
          <w:szCs w:val="28"/>
        </w:rPr>
        <w:t>de 10h00 à 11h30</w:t>
      </w:r>
    </w:p>
    <w:p w14:paraId="35F9622E" w14:textId="77777777" w:rsidR="008F1210" w:rsidRDefault="008F1210">
      <w:pPr>
        <w:widowControl w:val="0"/>
        <w:jc w:val="center"/>
        <w:rPr>
          <w:rFonts w:ascii="Calibri" w:hAnsi="Calibri" w:cs="Calibri"/>
          <w:color w:val="C0504D" w:themeColor="accent2"/>
          <w:sz w:val="32"/>
          <w:szCs w:val="32"/>
        </w:rPr>
      </w:pPr>
    </w:p>
    <w:p w14:paraId="3B384538" w14:textId="77777777" w:rsidR="008F1210" w:rsidRDefault="00110708">
      <w:pPr>
        <w:widowControl w:val="0"/>
      </w:pPr>
      <w:r>
        <w:rPr>
          <w:rFonts w:ascii="Calibri" w:hAnsi="Calibri" w:cs="Calibri"/>
          <w:b/>
        </w:rPr>
        <w:t>Introduction à l’atelier</w:t>
      </w:r>
    </w:p>
    <w:p w14:paraId="78C44C42" w14:textId="790A3E56" w:rsidR="008F1210" w:rsidRDefault="00110708" w:rsidP="007F49C1">
      <w:pPr>
        <w:widowControl w:val="0"/>
        <w:tabs>
          <w:tab w:val="left" w:pos="1470"/>
        </w:tabs>
      </w:pPr>
      <w:r>
        <w:rPr>
          <w:rFonts w:ascii="Calibri" w:hAnsi="Calibri" w:cs="Calibri"/>
          <w:sz w:val="22"/>
          <w:szCs w:val="22"/>
        </w:rPr>
        <w:t>5 minutes</w:t>
      </w:r>
      <w:r w:rsidR="007F49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Rappel du </w:t>
      </w:r>
      <w:r w:rsidR="00CD59B5">
        <w:rPr>
          <w:rFonts w:ascii="Calibri" w:hAnsi="Calibri" w:cs="Calibri"/>
          <w:sz w:val="22"/>
          <w:szCs w:val="22"/>
        </w:rPr>
        <w:t>séquençage des précédents volets</w:t>
      </w:r>
    </w:p>
    <w:p w14:paraId="1DAE74CB" w14:textId="4EB1EBB2" w:rsidR="008F1210" w:rsidRPr="007F49C1" w:rsidRDefault="00110708" w:rsidP="007F49C1">
      <w:pPr>
        <w:widowControl w:val="0"/>
        <w:ind w:left="1470"/>
        <w:rPr>
          <w:rFonts w:ascii="Calibri" w:hAnsi="Calibri" w:cs="Calibri"/>
          <w:bCs/>
          <w:sz w:val="22"/>
          <w:szCs w:val="22"/>
        </w:rPr>
      </w:pPr>
      <w:r w:rsidRPr="007F49C1">
        <w:rPr>
          <w:rFonts w:ascii="Calibri" w:hAnsi="Calibri" w:cs="Calibri"/>
          <w:bCs/>
          <w:sz w:val="22"/>
          <w:szCs w:val="22"/>
        </w:rPr>
        <w:t>Présentation de la séance du jour</w:t>
      </w:r>
      <w:r w:rsidR="00CD59B5" w:rsidRPr="007F49C1">
        <w:rPr>
          <w:rFonts w:ascii="Calibri" w:hAnsi="Calibri" w:cs="Calibri"/>
          <w:bCs/>
          <w:sz w:val="22"/>
          <w:szCs w:val="22"/>
        </w:rPr>
        <w:t xml:space="preserve">, </w:t>
      </w:r>
      <w:r w:rsidRPr="007F49C1">
        <w:rPr>
          <w:rFonts w:ascii="Calibri" w:hAnsi="Calibri" w:cs="Calibri"/>
          <w:bCs/>
          <w:sz w:val="22"/>
          <w:szCs w:val="22"/>
        </w:rPr>
        <w:t>de ses objectifs</w:t>
      </w:r>
      <w:r w:rsidR="00CD59B5" w:rsidRPr="007F49C1">
        <w:rPr>
          <w:rFonts w:ascii="Calibri" w:hAnsi="Calibri" w:cs="Calibri"/>
          <w:bCs/>
          <w:sz w:val="22"/>
          <w:szCs w:val="22"/>
        </w:rPr>
        <w:t xml:space="preserve"> et du déroulé de la séance</w:t>
      </w:r>
    </w:p>
    <w:p w14:paraId="48C34A1D" w14:textId="4D38BA49" w:rsidR="008F1210" w:rsidRDefault="008F1210">
      <w:pPr>
        <w:widowControl w:val="0"/>
        <w:spacing w:after="227"/>
      </w:pPr>
    </w:p>
    <w:p w14:paraId="06FF277C" w14:textId="69146F2D" w:rsidR="008F1210" w:rsidRDefault="00110708" w:rsidP="00CA00F1">
      <w:pPr>
        <w:widowControl w:val="0"/>
        <w:tabs>
          <w:tab w:val="left" w:pos="1418"/>
          <w:tab w:val="left" w:pos="1456"/>
        </w:tabs>
        <w:ind w:left="1418" w:hanging="1418"/>
      </w:pPr>
      <w:r>
        <w:rPr>
          <w:rFonts w:ascii="Calibri" w:hAnsi="Calibri" w:cs="Calibri"/>
          <w:b/>
          <w:bCs/>
          <w:sz w:val="22"/>
          <w:szCs w:val="22"/>
        </w:rPr>
        <w:t>Séquence 1</w:t>
      </w:r>
      <w:r w:rsidR="007F49C1">
        <w:rPr>
          <w:rFonts w:ascii="Calibri" w:hAnsi="Calibri" w:cs="Calibri"/>
          <w:b/>
          <w:bCs/>
          <w:sz w:val="22"/>
          <w:szCs w:val="22"/>
        </w:rPr>
        <w:tab/>
      </w:r>
      <w:r w:rsidR="00CA00F1" w:rsidRPr="00CA00F1">
        <w:rPr>
          <w:rFonts w:ascii="Calibri" w:hAnsi="Calibri" w:cs="Calibri"/>
          <w:b/>
          <w:bCs/>
          <w:sz w:val="22"/>
          <w:szCs w:val="22"/>
        </w:rPr>
        <w:t>Les différents acteurs compétents en matière d’urbanisme : la planification, la délivrance et l’instruction</w:t>
      </w:r>
    </w:p>
    <w:p w14:paraId="059A7793" w14:textId="00C4C9E4" w:rsidR="008F1210" w:rsidRDefault="00CD59B5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110708">
        <w:rPr>
          <w:rFonts w:ascii="Calibri" w:hAnsi="Calibri" w:cs="Calibri"/>
          <w:sz w:val="22"/>
          <w:szCs w:val="22"/>
        </w:rPr>
        <w:t xml:space="preserve"> minutes</w:t>
      </w:r>
      <w:r w:rsidR="001107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Rappel : L’Etat et les collectivités, acteurs du processus de production de la règle d’urbanisme</w:t>
      </w:r>
    </w:p>
    <w:p w14:paraId="1881D226" w14:textId="256122C9" w:rsidR="00CA00F1" w:rsidRPr="00CA00F1" w:rsidRDefault="00CA00F1" w:rsidP="00CA00F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 planification, la délivrance et l’instruction</w:t>
      </w:r>
    </w:p>
    <w:p w14:paraId="5537852E" w14:textId="435D89AE" w:rsidR="008F1210" w:rsidRDefault="008F1210" w:rsidP="00CD59B5">
      <w:pPr>
        <w:widowControl w:val="0"/>
        <w:rPr>
          <w:rFonts w:ascii="Calibri" w:hAnsi="Calibri" w:cs="Calibri"/>
          <w:sz w:val="22"/>
          <w:szCs w:val="22"/>
        </w:rPr>
      </w:pPr>
    </w:p>
    <w:p w14:paraId="45319C79" w14:textId="77777777" w:rsidR="00CD59B5" w:rsidRDefault="00CD59B5" w:rsidP="00CD59B5">
      <w:pPr>
        <w:widowControl w:val="0"/>
        <w:rPr>
          <w:rFonts w:ascii="Calibri" w:hAnsi="Calibri" w:cs="Calibri"/>
          <w:color w:val="BF0015"/>
          <w:sz w:val="22"/>
          <w:szCs w:val="22"/>
        </w:rPr>
      </w:pPr>
    </w:p>
    <w:p w14:paraId="4DFD182B" w14:textId="45144CF2" w:rsidR="008F1210" w:rsidRDefault="00110708" w:rsidP="00CA00F1">
      <w:pPr>
        <w:widowControl w:val="0"/>
      </w:pPr>
      <w:r>
        <w:rPr>
          <w:rFonts w:ascii="Calibri" w:hAnsi="Calibri" w:cs="Calibri"/>
          <w:b/>
          <w:bCs/>
          <w:sz w:val="22"/>
          <w:szCs w:val="22"/>
        </w:rPr>
        <w:t>Séquence 2</w:t>
      </w:r>
      <w:r w:rsidR="007F49C1">
        <w:rPr>
          <w:rFonts w:ascii="Calibri" w:hAnsi="Calibri" w:cs="Calibri"/>
          <w:b/>
          <w:bCs/>
          <w:sz w:val="22"/>
          <w:szCs w:val="22"/>
        </w:rPr>
        <w:tab/>
      </w:r>
      <w:r w:rsidR="00CA00F1" w:rsidRPr="00CA00F1">
        <w:rPr>
          <w:rFonts w:ascii="Calibri" w:hAnsi="Calibri" w:cs="Calibri"/>
          <w:b/>
          <w:bCs/>
          <w:sz w:val="22"/>
          <w:szCs w:val="22"/>
        </w:rPr>
        <w:t>Les activités d’urbanisme contrôlées</w:t>
      </w:r>
      <w:r w:rsidR="00CA00F1">
        <w:rPr>
          <w:rFonts w:ascii="Calibri" w:hAnsi="Calibri" w:cs="Calibri"/>
          <w:b/>
          <w:bCs/>
          <w:sz w:val="22"/>
          <w:szCs w:val="22"/>
        </w:rPr>
        <w:t xml:space="preserve"> et l</w:t>
      </w:r>
      <w:r w:rsidR="00CA00F1" w:rsidRPr="00CA00F1">
        <w:rPr>
          <w:rFonts w:ascii="Calibri" w:hAnsi="Calibri" w:cs="Calibri"/>
          <w:b/>
          <w:bCs/>
          <w:sz w:val="22"/>
          <w:szCs w:val="22"/>
        </w:rPr>
        <w:t xml:space="preserve">es autorisations </w:t>
      </w:r>
      <w:r w:rsidR="00CA00F1">
        <w:rPr>
          <w:rFonts w:ascii="Calibri" w:hAnsi="Calibri" w:cs="Calibri"/>
          <w:b/>
          <w:bCs/>
          <w:sz w:val="22"/>
          <w:szCs w:val="22"/>
        </w:rPr>
        <w:t>délivrées</w:t>
      </w:r>
    </w:p>
    <w:p w14:paraId="0194F707" w14:textId="6D32CC0C" w:rsidR="008F1210" w:rsidRDefault="007F49C1">
      <w:pPr>
        <w:widowControl w:val="0"/>
      </w:pPr>
      <w:r>
        <w:rPr>
          <w:rFonts w:ascii="Calibri" w:hAnsi="Calibri" w:cs="Calibri"/>
          <w:sz w:val="22"/>
          <w:szCs w:val="22"/>
        </w:rPr>
        <w:t>15</w:t>
      </w:r>
      <w:r w:rsidR="00110708">
        <w:rPr>
          <w:rFonts w:ascii="Calibri" w:hAnsi="Calibri" w:cs="Calibri"/>
          <w:sz w:val="22"/>
          <w:szCs w:val="22"/>
        </w:rPr>
        <w:t xml:space="preserve"> minutes</w:t>
      </w:r>
      <w:r w:rsidR="00110708">
        <w:rPr>
          <w:rFonts w:ascii="Calibri" w:hAnsi="Calibri" w:cs="Calibri"/>
          <w:bCs/>
          <w:sz w:val="22"/>
          <w:szCs w:val="22"/>
        </w:rPr>
        <w:tab/>
      </w:r>
      <w:r w:rsidR="00CD59B5">
        <w:rPr>
          <w:rFonts w:ascii="Calibri" w:hAnsi="Calibri" w:cs="Calibri"/>
          <w:bCs/>
          <w:sz w:val="22"/>
          <w:szCs w:val="22"/>
        </w:rPr>
        <w:t>Les activités contrôlées</w:t>
      </w:r>
    </w:p>
    <w:p w14:paraId="08D797EC" w14:textId="7836E66D" w:rsidR="008F1210" w:rsidRDefault="00CD59B5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Les formalités à accomplir par le pétitionnaire</w:t>
      </w:r>
    </w:p>
    <w:p w14:paraId="6FC159FD" w14:textId="36D8AB98" w:rsidR="007F49C1" w:rsidRDefault="007F49C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Les déclarations d’achèvement</w:t>
      </w:r>
    </w:p>
    <w:p w14:paraId="313BAB3B" w14:textId="3ADA7721" w:rsidR="00CA00F1" w:rsidRDefault="00CA00F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régime des autorisations</w:t>
      </w:r>
    </w:p>
    <w:p w14:paraId="18BFF2AA" w14:textId="6BA07851" w:rsidR="00CD59B5" w:rsidRDefault="00CD59B5" w:rsidP="00CD59B5">
      <w:pPr>
        <w:widowControl w:val="0"/>
      </w:pPr>
    </w:p>
    <w:p w14:paraId="0634A5C1" w14:textId="77777777" w:rsidR="007F49C1" w:rsidRDefault="007F49C1" w:rsidP="00CD59B5">
      <w:pPr>
        <w:widowControl w:val="0"/>
      </w:pPr>
    </w:p>
    <w:p w14:paraId="51EBFE0B" w14:textId="43F87D77" w:rsidR="008F1210" w:rsidRDefault="00110708">
      <w:pPr>
        <w:widowControl w:val="0"/>
      </w:pPr>
      <w:bookmarkStart w:id="0" w:name="_Hlk67566447"/>
      <w:r>
        <w:rPr>
          <w:rFonts w:ascii="Calibri" w:hAnsi="Calibri" w:cs="Calibri"/>
          <w:b/>
          <w:bCs/>
          <w:sz w:val="22"/>
          <w:szCs w:val="22"/>
        </w:rPr>
        <w:t>Séquence 3</w:t>
      </w:r>
      <w:r w:rsidR="007F49C1">
        <w:rPr>
          <w:rFonts w:ascii="Calibri" w:hAnsi="Calibri" w:cs="Calibri"/>
          <w:b/>
          <w:bCs/>
          <w:sz w:val="22"/>
          <w:szCs w:val="22"/>
        </w:rPr>
        <w:tab/>
      </w:r>
      <w:r w:rsidR="00CA00F1" w:rsidRPr="00CA00F1">
        <w:rPr>
          <w:rFonts w:ascii="Calibri" w:hAnsi="Calibri" w:cs="Calibri"/>
          <w:b/>
          <w:bCs/>
          <w:sz w:val="22"/>
          <w:szCs w:val="22"/>
        </w:rPr>
        <w:t>La police de l’urbanisme comme police du droit des sols, ses acteurs, ses responsabilités</w:t>
      </w:r>
    </w:p>
    <w:p w14:paraId="657DC682" w14:textId="5F32692F" w:rsidR="008F1210" w:rsidRDefault="00CA00F1">
      <w:pPr>
        <w:widowControl w:val="0"/>
      </w:pPr>
      <w:r>
        <w:rPr>
          <w:rFonts w:ascii="Calibri" w:hAnsi="Calibri" w:cs="Calibri"/>
          <w:sz w:val="22"/>
          <w:szCs w:val="22"/>
        </w:rPr>
        <w:t>5</w:t>
      </w:r>
      <w:r w:rsidR="00110708">
        <w:rPr>
          <w:rFonts w:ascii="Calibri" w:hAnsi="Calibri" w:cs="Calibri"/>
          <w:sz w:val="22"/>
          <w:szCs w:val="22"/>
        </w:rPr>
        <w:t xml:space="preserve"> minutes</w:t>
      </w:r>
      <w:r w:rsidR="007F49C1">
        <w:rPr>
          <w:rFonts w:ascii="Calibri" w:hAnsi="Calibri" w:cs="Calibri"/>
          <w:sz w:val="22"/>
          <w:szCs w:val="22"/>
        </w:rPr>
        <w:tab/>
      </w:r>
      <w:r w:rsidR="007F49C1">
        <w:rPr>
          <w:rFonts w:ascii="Calibri" w:hAnsi="Calibri" w:cs="Calibri"/>
          <w:bCs/>
          <w:sz w:val="22"/>
          <w:szCs w:val="22"/>
        </w:rPr>
        <w:t>Rappel des autres polices existantes</w:t>
      </w:r>
    </w:p>
    <w:bookmarkEnd w:id="0"/>
    <w:p w14:paraId="25355341" w14:textId="770D2E08" w:rsidR="008F1210" w:rsidRPr="007F49C1" w:rsidRDefault="007F49C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Les acteurs de la police de l’urbanisme</w:t>
      </w:r>
    </w:p>
    <w:p w14:paraId="20248B09" w14:textId="77777777" w:rsidR="00CA00F1" w:rsidRDefault="00CA00F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</w:p>
    <w:p w14:paraId="4776DE82" w14:textId="66F0E99A" w:rsidR="00CA00F1" w:rsidRDefault="00CA00F1" w:rsidP="00CA00F1">
      <w:pPr>
        <w:widowControl w:val="0"/>
      </w:pPr>
      <w:r>
        <w:rPr>
          <w:rFonts w:ascii="Calibri" w:hAnsi="Calibri" w:cs="Calibri"/>
          <w:b/>
          <w:bCs/>
          <w:sz w:val="22"/>
          <w:szCs w:val="22"/>
        </w:rPr>
        <w:t>Séquence 4</w:t>
      </w:r>
      <w:r>
        <w:rPr>
          <w:rFonts w:ascii="Calibri" w:hAnsi="Calibri" w:cs="Calibri"/>
          <w:b/>
          <w:bCs/>
          <w:sz w:val="22"/>
          <w:szCs w:val="22"/>
        </w:rPr>
        <w:tab/>
        <w:t>L’action judiciaire, ses procédures, effets et conséquences</w:t>
      </w:r>
    </w:p>
    <w:p w14:paraId="09C798EB" w14:textId="74C6EFB4" w:rsidR="008F1210" w:rsidRDefault="00CA00F1" w:rsidP="00CA00F1">
      <w:pPr>
        <w:widowContro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 minutes</w:t>
      </w:r>
      <w:r>
        <w:rPr>
          <w:rFonts w:ascii="Calibri" w:hAnsi="Calibri" w:cs="Calibri"/>
          <w:sz w:val="22"/>
          <w:szCs w:val="22"/>
        </w:rPr>
        <w:tab/>
      </w:r>
      <w:r w:rsidR="007F49C1">
        <w:rPr>
          <w:rFonts w:ascii="Calibri" w:hAnsi="Calibri" w:cs="Calibri"/>
          <w:bCs/>
          <w:sz w:val="22"/>
          <w:szCs w:val="22"/>
        </w:rPr>
        <w:t>L’action pénale</w:t>
      </w:r>
    </w:p>
    <w:p w14:paraId="74DD0AC2" w14:textId="5308A160" w:rsidR="00110708" w:rsidRPr="007F49C1" w:rsidRDefault="00110708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L’action civile</w:t>
      </w:r>
    </w:p>
    <w:p w14:paraId="49421A9B" w14:textId="37A1E568" w:rsidR="008F1210" w:rsidRDefault="007F49C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constat de l’infraction</w:t>
      </w:r>
    </w:p>
    <w:p w14:paraId="58EAA4BD" w14:textId="70B95530" w:rsidR="007F49C1" w:rsidRDefault="007F49C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 verbalisation</w:t>
      </w:r>
    </w:p>
    <w:p w14:paraId="11061052" w14:textId="5F903216" w:rsidR="00CA00F1" w:rsidRDefault="00CA00F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Les poursuites du Parquet</w:t>
      </w:r>
    </w:p>
    <w:p w14:paraId="57C7BEAF" w14:textId="337027F3" w:rsidR="00CA00F1" w:rsidRPr="007F49C1" w:rsidRDefault="00CA00F1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L’exécution du jugement et les mesures de restitution</w:t>
      </w:r>
    </w:p>
    <w:p w14:paraId="08037EBC" w14:textId="77777777" w:rsidR="008F1210" w:rsidRDefault="008F1210">
      <w:pPr>
        <w:widowControl w:val="0"/>
        <w:spacing w:after="227"/>
        <w:ind w:left="1416" w:firstLine="100"/>
        <w:rPr>
          <w:rFonts w:ascii="Calibri" w:hAnsi="Calibri" w:cs="Calibri"/>
          <w:sz w:val="22"/>
          <w:szCs w:val="22"/>
        </w:rPr>
      </w:pPr>
    </w:p>
    <w:p w14:paraId="09219E49" w14:textId="7858202E" w:rsidR="008F1210" w:rsidRDefault="00110708" w:rsidP="007F49C1">
      <w:pPr>
        <w:widowControl w:val="0"/>
        <w:ind w:left="1418" w:hanging="1418"/>
      </w:pPr>
      <w:r>
        <w:rPr>
          <w:rFonts w:ascii="Calibri" w:hAnsi="Calibri" w:cs="Calibri"/>
          <w:b/>
          <w:bCs/>
          <w:sz w:val="22"/>
          <w:szCs w:val="22"/>
        </w:rPr>
        <w:t xml:space="preserve">Séquence </w:t>
      </w:r>
      <w:r w:rsidR="00CA00F1">
        <w:rPr>
          <w:rFonts w:ascii="Calibri" w:hAnsi="Calibri" w:cs="Calibri"/>
          <w:b/>
          <w:bCs/>
          <w:sz w:val="22"/>
          <w:szCs w:val="22"/>
        </w:rPr>
        <w:t>5</w:t>
      </w:r>
      <w:r w:rsidR="007F49C1">
        <w:rPr>
          <w:rFonts w:ascii="Calibri" w:hAnsi="Calibri" w:cs="Calibri"/>
          <w:b/>
          <w:bCs/>
          <w:sz w:val="22"/>
          <w:szCs w:val="22"/>
        </w:rPr>
        <w:tab/>
      </w:r>
      <w:r w:rsidR="00CA00F1">
        <w:rPr>
          <w:rFonts w:ascii="Calibri" w:hAnsi="Calibri" w:cs="Calibri"/>
          <w:b/>
          <w:bCs/>
          <w:sz w:val="22"/>
          <w:szCs w:val="22"/>
        </w:rPr>
        <w:t>La police administrative de l’urbanisme : l’action directe du maire</w:t>
      </w:r>
    </w:p>
    <w:p w14:paraId="69C1FB88" w14:textId="4E78DB6B" w:rsidR="008F1210" w:rsidRDefault="00CA00F1" w:rsidP="007F49C1">
      <w:pPr>
        <w:widowControl w:val="0"/>
        <w:ind w:left="1418" w:hanging="1418"/>
      </w:pPr>
      <w:r>
        <w:rPr>
          <w:rFonts w:ascii="Calibri" w:hAnsi="Calibri" w:cs="Calibri"/>
          <w:sz w:val="22"/>
          <w:szCs w:val="22"/>
        </w:rPr>
        <w:t>15</w:t>
      </w:r>
      <w:r w:rsidR="00110708">
        <w:rPr>
          <w:rFonts w:ascii="Calibri" w:hAnsi="Calibri" w:cs="Calibri"/>
          <w:sz w:val="22"/>
          <w:szCs w:val="22"/>
        </w:rPr>
        <w:t xml:space="preserve"> minutes</w:t>
      </w:r>
      <w:r w:rsidR="007F49C1">
        <w:rPr>
          <w:rFonts w:ascii="Calibri" w:hAnsi="Calibri" w:cs="Calibri"/>
          <w:sz w:val="22"/>
          <w:szCs w:val="22"/>
        </w:rPr>
        <w:tab/>
      </w:r>
      <w:r w:rsidR="00110708">
        <w:rPr>
          <w:rFonts w:ascii="Calibri" w:hAnsi="Calibri" w:cs="Calibri"/>
          <w:sz w:val="22"/>
          <w:szCs w:val="22"/>
        </w:rPr>
        <w:t>L</w:t>
      </w:r>
      <w:r w:rsidR="007F49C1">
        <w:rPr>
          <w:rFonts w:ascii="Calibri" w:hAnsi="Calibri" w:cs="Calibri"/>
          <w:sz w:val="22"/>
          <w:szCs w:val="22"/>
        </w:rPr>
        <w:t>a mise en demeure et l’astreinte</w:t>
      </w:r>
    </w:p>
    <w:p w14:paraId="51DB8645" w14:textId="70BB405B" w:rsidR="008F1210" w:rsidRPr="007F49C1" w:rsidRDefault="00110708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L’interruption des travaux</w:t>
      </w:r>
    </w:p>
    <w:p w14:paraId="6DBAD430" w14:textId="675328E1" w:rsidR="008F1210" w:rsidRPr="007F49C1" w:rsidRDefault="00110708" w:rsidP="007F49C1">
      <w:pPr>
        <w:widowControl w:val="0"/>
        <w:ind w:left="141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raccordement aux réseaux</w:t>
      </w:r>
    </w:p>
    <w:p w14:paraId="31E1B2BE" w14:textId="77777777" w:rsidR="008F1210" w:rsidRDefault="008F1210" w:rsidP="00110708">
      <w:pPr>
        <w:widowControl w:val="0"/>
        <w:spacing w:after="227"/>
        <w:rPr>
          <w:rFonts w:ascii="Calibri" w:hAnsi="Calibri" w:cs="Calibri"/>
          <w:bCs/>
          <w:sz w:val="22"/>
          <w:szCs w:val="22"/>
        </w:rPr>
      </w:pPr>
    </w:p>
    <w:p w14:paraId="7BB2B956" w14:textId="233BBAFA" w:rsidR="008F1210" w:rsidRPr="002424B2" w:rsidRDefault="00110708">
      <w:pPr>
        <w:widowControl w:val="0"/>
        <w:rPr>
          <w:bCs/>
          <w:i/>
          <w:iCs/>
        </w:rPr>
      </w:pPr>
      <w:r>
        <w:rPr>
          <w:rFonts w:ascii="Calibri" w:hAnsi="Calibri" w:cs="Calibri"/>
          <w:b/>
        </w:rPr>
        <w:t xml:space="preserve">Conclusion   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2424B2">
        <w:rPr>
          <w:rFonts w:ascii="Calibri" w:hAnsi="Calibri" w:cs="Calibri"/>
          <w:b/>
          <w:sz w:val="22"/>
          <w:szCs w:val="22"/>
        </w:rPr>
        <w:t xml:space="preserve">Cas pratiques </w:t>
      </w:r>
      <w:r w:rsidR="002424B2" w:rsidRPr="002424B2">
        <w:rPr>
          <w:rFonts w:ascii="Calibri" w:hAnsi="Calibri" w:cs="Calibri"/>
          <w:bCs/>
          <w:i/>
          <w:iCs/>
          <w:sz w:val="22"/>
          <w:szCs w:val="22"/>
        </w:rPr>
        <w:t>(jurisprudence des cours d’appels)</w:t>
      </w:r>
    </w:p>
    <w:p w14:paraId="127D1766" w14:textId="7D293DBB" w:rsidR="008F1210" w:rsidRDefault="00CA00F1">
      <w:pPr>
        <w:widowControl w:val="0"/>
      </w:pPr>
      <w:r>
        <w:rPr>
          <w:rFonts w:ascii="Calibri" w:hAnsi="Calibri" w:cs="Calibri"/>
          <w:sz w:val="22"/>
          <w:szCs w:val="22"/>
        </w:rPr>
        <w:t>15</w:t>
      </w:r>
      <w:r w:rsidR="00110708">
        <w:rPr>
          <w:rFonts w:ascii="Calibri" w:hAnsi="Calibri" w:cs="Calibri"/>
          <w:sz w:val="22"/>
          <w:szCs w:val="22"/>
        </w:rPr>
        <w:t xml:space="preserve"> minutes</w:t>
      </w:r>
      <w:r w:rsidR="00110708">
        <w:rPr>
          <w:rFonts w:ascii="Calibri" w:hAnsi="Calibri" w:cs="Calibri"/>
          <w:sz w:val="22"/>
          <w:szCs w:val="22"/>
        </w:rPr>
        <w:tab/>
        <w:t xml:space="preserve">  </w:t>
      </w:r>
    </w:p>
    <w:p w14:paraId="63F760F8" w14:textId="77777777" w:rsidR="008F1210" w:rsidRDefault="00110708">
      <w:pPr>
        <w:widowControl w:val="0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</w:p>
    <w:p w14:paraId="244FFDC9" w14:textId="77777777" w:rsidR="008F1210" w:rsidRDefault="008F1210">
      <w:pPr>
        <w:widowControl w:val="0"/>
        <w:rPr>
          <w:rFonts w:ascii="Calibri" w:hAnsi="Calibri" w:cs="Calibri"/>
          <w:sz w:val="22"/>
          <w:szCs w:val="22"/>
        </w:rPr>
      </w:pPr>
    </w:p>
    <w:p w14:paraId="2BC7CCE1" w14:textId="77777777" w:rsidR="008F1210" w:rsidRDefault="00110708">
      <w:pPr>
        <w:jc w:val="center"/>
      </w:pPr>
      <w:r>
        <w:rPr>
          <w:b/>
        </w:rPr>
        <w:t>5 minutes de questions/réponses seront prévues entre les séquences.</w:t>
      </w:r>
    </w:p>
    <w:sectPr w:rsidR="008F1210"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10"/>
    <w:rsid w:val="00110708"/>
    <w:rsid w:val="002424B2"/>
    <w:rsid w:val="004536DB"/>
    <w:rsid w:val="007F49C1"/>
    <w:rsid w:val="008F1210"/>
    <w:rsid w:val="00CA00F1"/>
    <w:rsid w:val="00C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A7FD"/>
  <w15:docId w15:val="{351E4646-2EFF-49C5-AB87-AC49FDD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25B4B"/>
  </w:style>
  <w:style w:type="character" w:customStyle="1" w:styleId="PieddepageCar">
    <w:name w:val="Pied de page Car"/>
    <w:basedOn w:val="Policepardfaut"/>
    <w:link w:val="Pieddepage1"/>
    <w:uiPriority w:val="99"/>
    <w:qFormat/>
    <w:rsid w:val="00F25B4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1">
    <w:name w:val="En-tête1"/>
    <w:basedOn w:val="Normal"/>
    <w:uiPriority w:val="99"/>
    <w:unhideWhenUsed/>
    <w:rsid w:val="00F25B4B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F25B4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Bezard</dc:creator>
  <dc:description/>
  <cp:lastModifiedBy>Karine BEAU-THYARION</cp:lastModifiedBy>
  <cp:revision>5</cp:revision>
  <cp:lastPrinted>2021-01-25T08:29:00Z</cp:lastPrinted>
  <dcterms:created xsi:type="dcterms:W3CDTF">2021-03-23T10:27:00Z</dcterms:created>
  <dcterms:modified xsi:type="dcterms:W3CDTF">2021-03-29T12:35:00Z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